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76" w:rsidRDefault="007F4635">
      <w:pPr>
        <w:pStyle w:val="Standard"/>
        <w:jc w:val="right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t>Załącznik nr 1 A do SIWZ</w:t>
      </w:r>
    </w:p>
    <w:p w:rsidR="009D3776" w:rsidRDefault="009D3776">
      <w:pPr>
        <w:pStyle w:val="Standard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9D3776" w:rsidRDefault="009D3776">
      <w:pPr>
        <w:pStyle w:val="Standard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D3776" w:rsidRDefault="007F4635">
      <w:pPr>
        <w:pStyle w:val="NormalnyWeb"/>
        <w:shd w:val="clear" w:color="auto" w:fill="FFFFFF"/>
        <w:spacing w:before="0" w:after="0" w:line="102" w:lineRule="atLeas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Opis przedmiotu zamówienia</w:t>
      </w:r>
    </w:p>
    <w:p w:rsidR="009D3776" w:rsidRDefault="009D3776">
      <w:pPr>
        <w:pStyle w:val="NormalnyWeb"/>
        <w:shd w:val="clear" w:color="auto" w:fill="FFFFFF"/>
        <w:spacing w:before="0" w:after="0" w:line="102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9D3776" w:rsidRDefault="007F4635">
      <w:pPr>
        <w:pStyle w:val="NormalnyWeb"/>
        <w:shd w:val="clear" w:color="auto" w:fill="FFFFFF"/>
        <w:spacing w:before="0" w:after="0" w:line="102" w:lineRule="atLeast"/>
        <w:jc w:val="both"/>
      </w:pPr>
      <w:r>
        <w:rPr>
          <w:rFonts w:ascii="Tahoma" w:hAnsi="Tahoma" w:cs="Tahoma"/>
          <w:color w:val="000000"/>
          <w:sz w:val="20"/>
          <w:szCs w:val="20"/>
        </w:rPr>
        <w:t>1. Przedmiotem zamówienia jest usługa kompleksowego prania,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naprawy (reperacji)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bielizny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ogólnoszpitalnej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wraz z transportem dla </w:t>
      </w:r>
      <w:r>
        <w:rPr>
          <w:rFonts w:ascii="Tahoma" w:hAnsi="Tahoma" w:cs="Tahoma"/>
          <w:color w:val="000000"/>
          <w:sz w:val="20"/>
          <w:szCs w:val="20"/>
        </w:rPr>
        <w:t>Domu Polskiego Czerwonego Krzyża w Krakowie Zakładu Opiekuńczo – Leczniczego, ul. Olszańska 5, 31-513 Kraków (zwanego dalej ZOL).</w:t>
      </w:r>
    </w:p>
    <w:p w:rsidR="009D3776" w:rsidRDefault="007F4635">
      <w:pPr>
        <w:pStyle w:val="NormalnyWeb"/>
        <w:shd w:val="clear" w:color="auto" w:fill="FFFFFF"/>
        <w:spacing w:before="0" w:after="0" w:line="10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Wymagania dotyczące przedmiotu zamówienia:</w:t>
      </w:r>
    </w:p>
    <w:p w:rsidR="009D3776" w:rsidRDefault="007F4635">
      <w:pPr>
        <w:pStyle w:val="NormalnyWeb"/>
        <w:shd w:val="clear" w:color="auto" w:fill="FFFFFF"/>
        <w:spacing w:before="0" w:after="0" w:line="102" w:lineRule="atLeast"/>
        <w:jc w:val="both"/>
      </w:pPr>
      <w:r>
        <w:rPr>
          <w:rStyle w:val="StrongEmphasis"/>
          <w:rFonts w:ascii="Tahoma" w:hAnsi="Tahoma" w:cs="Tahoma"/>
          <w:color w:val="000000"/>
          <w:sz w:val="20"/>
          <w:szCs w:val="20"/>
        </w:rPr>
        <w:t>Usługa obejmuje:</w:t>
      </w:r>
    </w:p>
    <w:p w:rsidR="009D3776" w:rsidRDefault="007F4635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pranie wodne z jednoczesną dezynfekcją chemiczno- termiczną obe</w:t>
      </w:r>
      <w:r>
        <w:rPr>
          <w:rFonts w:ascii="Tahoma" w:hAnsi="Tahoma" w:cs="Tahoma"/>
          <w:color w:val="000000"/>
          <w:sz w:val="20"/>
          <w:szCs w:val="20"/>
        </w:rPr>
        <w:t xml:space="preserve">jmujące pranie, maglowanie i fasonowanie bielizny pościelowej, piżam, szlafroków, koszul płóciennych, podkoszulków, odzieży roboczej (fartuchy i ubrania lekarskie), ręczników, ścierek podkładów, firanek, zasłon, obrusów,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mopów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worków itp.;</w:t>
      </w:r>
    </w:p>
    <w:p w:rsidR="009D3776" w:rsidRDefault="007F4635">
      <w:pPr>
        <w:pStyle w:val="NormalnyWeb"/>
        <w:numPr>
          <w:ilvl w:val="0"/>
          <w:numId w:val="6"/>
        </w:numPr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czyszczenie che</w:t>
      </w:r>
      <w:r>
        <w:rPr>
          <w:rFonts w:ascii="Tahoma" w:hAnsi="Tahoma" w:cs="Tahoma"/>
          <w:color w:val="000000"/>
          <w:sz w:val="20"/>
          <w:szCs w:val="20"/>
        </w:rPr>
        <w:t>miczne (lub wodne przy zachowaniu odpowiednio dobranej technologii i środków piorąco- dezynfekcyjnych) koców;</w:t>
      </w:r>
    </w:p>
    <w:p w:rsidR="009D3776" w:rsidRDefault="007F4635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dezynfekcję materacy, kołder i poduszek;</w:t>
      </w:r>
    </w:p>
    <w:p w:rsidR="009D3776" w:rsidRDefault="007F4635">
      <w:pPr>
        <w:pStyle w:val="NormalnyWeb"/>
        <w:numPr>
          <w:ilvl w:val="0"/>
          <w:numId w:val="7"/>
        </w:numPr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naprawę uszkodzonej bielizny;</w:t>
      </w:r>
    </w:p>
    <w:p w:rsidR="009D3776" w:rsidRDefault="007F4635">
      <w:pPr>
        <w:pStyle w:val="NormalnyWeb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transport bielizny szpitalnej od i do Zamawiającego;</w:t>
      </w:r>
    </w:p>
    <w:p w:rsidR="009D3776" w:rsidRDefault="007F4635">
      <w:pPr>
        <w:pStyle w:val="NormalnyWeb"/>
        <w:numPr>
          <w:ilvl w:val="0"/>
          <w:numId w:val="8"/>
        </w:numPr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szacunkowa liczba </w:t>
      </w:r>
      <w:r>
        <w:rPr>
          <w:rFonts w:ascii="Tahoma" w:hAnsi="Tahoma" w:cs="Tahoma"/>
          <w:color w:val="000000"/>
          <w:sz w:val="20"/>
          <w:szCs w:val="20"/>
        </w:rPr>
        <w:t>kilogramów prania – 1700 kg /miesięcznie,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z zastrzeżeniem, że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ilości przedmiotu zamówienia mogą ulec zmniejszeniu w zależności od zapotrzebowania Zamawiającego, na co Wykonawca wyraża zgodę i z tego tytułu nie będzie dochodził żadnych roszczeń.  Powyższe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lości nie są ostateczne i zależą od bieżących potrzeb Zamawiającego, a więc mogą ulec zmniejszeniu nawet w stopniu znacznym wynoszącym 20%,  a Wykonawca z tego tytułu nie będzie miał wobec Zamawiającego żadnych roszczeń finansowo - prawnych. Powyższe upraw</w:t>
      </w:r>
      <w:r>
        <w:rPr>
          <w:rFonts w:ascii="Tahoma" w:hAnsi="Tahoma" w:cs="Tahoma"/>
          <w:color w:val="000000"/>
          <w:sz w:val="20"/>
          <w:szCs w:val="20"/>
        </w:rPr>
        <w:t>nienie Zamawiającego do kreowania bieżącego zamówienia w ilościach zgodnych z jego aktualnym zapotrzebowaniem uzależnione będzie w szczególności od sytuacji społeczno - gospodarczej wywołanej COVID-19 (wirus SARS-CoV-2).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</w:pPr>
      <w:r>
        <w:rPr>
          <w:rStyle w:val="StrongEmphasis"/>
          <w:rFonts w:ascii="Tahoma" w:hAnsi="Tahoma" w:cs="Tahoma"/>
          <w:color w:val="000000"/>
          <w:sz w:val="20"/>
          <w:szCs w:val="20"/>
        </w:rPr>
        <w:t>Wykonawca zobowiązuje się do: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a) po</w:t>
      </w:r>
      <w:r>
        <w:rPr>
          <w:rFonts w:ascii="Tahoma" w:hAnsi="Tahoma" w:cs="Tahoma"/>
          <w:color w:val="000000"/>
          <w:sz w:val="20"/>
          <w:szCs w:val="20"/>
        </w:rPr>
        <w:t>noszenia pełnej odpowiedzialności prawnej i materialnej za jakość wykonywanych usług pralniczych oraz zgodność procesu pralniczego z wymogami sanitarnymi,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b) stosowania technologii właściwej do prania bielizny szpitalnej w celu uzyskania odpowiedniego efek</w:t>
      </w:r>
      <w:r>
        <w:rPr>
          <w:rFonts w:ascii="Tahoma" w:hAnsi="Tahoma" w:cs="Tahoma"/>
          <w:color w:val="000000"/>
          <w:sz w:val="20"/>
          <w:szCs w:val="20"/>
        </w:rPr>
        <w:t>tu czystości, dezynfekcji, estetyki i trwałości bielizny ( w zależności od rodzaju zanieczyszczeń),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c) doboru odpowiedniej technologii prania z dezynfekcją, zapewniającej używanie środków piorąco -dezynfekujących o szerokim spektrum działania na bakterie –</w:t>
      </w:r>
      <w:r>
        <w:rPr>
          <w:rFonts w:ascii="Tahoma" w:hAnsi="Tahoma" w:cs="Tahoma"/>
          <w:color w:val="000000"/>
          <w:sz w:val="20"/>
          <w:szCs w:val="20"/>
        </w:rPr>
        <w:t xml:space="preserve"> B wirusy – V,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prądki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gruźlicy-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Tbc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F,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d) określenia dnia w tygodniu i godziny, w których Wykonawca będzie dostępny dla kontaktu z Zamawiającym,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e) posiadania pozytywnej decyzji stacji sanitarno – epidemiologicznej, że pomieszczenia i urządzenia, w któryc</w:t>
      </w:r>
      <w:r>
        <w:rPr>
          <w:rFonts w:ascii="Tahoma" w:hAnsi="Tahoma" w:cs="Tahoma"/>
          <w:color w:val="000000"/>
          <w:sz w:val="20"/>
          <w:szCs w:val="20"/>
        </w:rPr>
        <w:t>h odbywać się będzie pranie bielizny szpitalnej odpowiadają wszelkim wymogom sanitarno – epidemiologicznym,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</w:pPr>
      <w:r>
        <w:rPr>
          <w:rFonts w:ascii="Tahoma" w:hAnsi="Tahoma" w:cs="Tahoma"/>
          <w:color w:val="000000"/>
          <w:sz w:val="20"/>
          <w:szCs w:val="20"/>
        </w:rPr>
        <w:t>f) stosowania środków piorących i dezynfekujących posiadających wymagane atesty i certyfikaty oraz technologię dezynfekcji niskotemperaturowej w pro</w:t>
      </w:r>
      <w:r>
        <w:rPr>
          <w:rFonts w:ascii="Tahoma" w:hAnsi="Tahoma" w:cs="Tahoma"/>
          <w:color w:val="000000"/>
          <w:sz w:val="20"/>
          <w:szCs w:val="20"/>
        </w:rPr>
        <w:t>cesie prania – temperatura nie większa niż 65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dla bielizny pościelowej, oraz 30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dla koców wełnianych i poduszek – co pozwala na właściwą jakość prania nie powodując przyspieszonego zużycia bielizny.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g) stosowania środków piorących i dezynfekujących dop</w:t>
      </w:r>
      <w:r>
        <w:rPr>
          <w:rFonts w:ascii="Tahoma" w:hAnsi="Tahoma" w:cs="Tahoma"/>
          <w:color w:val="000000"/>
          <w:sz w:val="20"/>
          <w:szCs w:val="20"/>
        </w:rPr>
        <w:t xml:space="preserve">uszczonych do obrotu i używania zgodnie z obowiązującymi w tym zakresie przepisami prawa, w szczególności zgodnie z ustawą z dnia 6 września 2001 r. - Prawo farmaceutyczne (tekst jednolity Dz. U. z 2019 r. poz. 499 z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zm.), ustawą z dnia 20 maja 2010 </w:t>
      </w:r>
      <w:r>
        <w:rPr>
          <w:rFonts w:ascii="Tahoma" w:hAnsi="Tahoma" w:cs="Tahoma"/>
          <w:color w:val="000000"/>
          <w:sz w:val="20"/>
          <w:szCs w:val="20"/>
        </w:rPr>
        <w:t xml:space="preserve">r. o wyrobach medycznych (tekst jednolity Dz. U. z 2020 r. poz. 186) oraz ustawą o produktach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biobójczych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(tekst jednolity Dz. U. z 2018 r. poz. 2231)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h) Wykonawca zapewni: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pakowanie w worki do transportu czystej bielizny szpitalnej (posiadające atest PZH </w:t>
      </w:r>
      <w:r>
        <w:rPr>
          <w:rFonts w:ascii="Tahoma" w:hAnsi="Tahoma" w:cs="Tahoma"/>
          <w:color w:val="000000"/>
          <w:sz w:val="20"/>
          <w:szCs w:val="20"/>
        </w:rPr>
        <w:t>lub inny równoważny dokument,) znakowanie, transportowanie (czyli dostarczenie do zamawiającego) oraz rozliczanie wagowo – ilościowo – asortymentowe bielizny.</w:t>
      </w:r>
    </w:p>
    <w:p w:rsidR="009D3776" w:rsidRDefault="009D3776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9D3776" w:rsidRDefault="007F4635">
      <w:pPr>
        <w:pStyle w:val="NormalnyWeb"/>
        <w:shd w:val="clear" w:color="auto" w:fill="FFFFFF"/>
        <w:spacing w:before="0" w:after="0"/>
        <w:jc w:val="both"/>
      </w:pPr>
      <w:r>
        <w:rPr>
          <w:rStyle w:val="StrongEmphasis"/>
          <w:rFonts w:ascii="Tahoma" w:hAnsi="Tahoma" w:cs="Tahoma"/>
          <w:color w:val="000000"/>
          <w:sz w:val="20"/>
          <w:szCs w:val="20"/>
        </w:rPr>
        <w:t>Zamawiający zobowiązuje się do: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wydzielenia pomieszczenia dla składowania brudnej bielizny i c</w:t>
      </w:r>
      <w:r>
        <w:rPr>
          <w:rFonts w:ascii="Tahoma" w:hAnsi="Tahoma" w:cs="Tahoma"/>
          <w:color w:val="000000"/>
          <w:sz w:val="20"/>
          <w:szCs w:val="20"/>
        </w:rPr>
        <w:t>zystej,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organizacji transportu brudnej i czystej bielizny na terenie ZOL, w celu składowania jej w wydzielonym pomieszczeniu, z którego będą zbierane przez Wykonawcę w celu świadczenia usługi.</w:t>
      </w:r>
    </w:p>
    <w:p w:rsidR="009D3776" w:rsidRDefault="009D3776">
      <w:pPr>
        <w:pStyle w:val="NormalnyWeb"/>
        <w:shd w:val="clear" w:color="auto" w:fill="FFFFFF"/>
        <w:spacing w:before="0" w:after="0"/>
        <w:jc w:val="both"/>
      </w:pPr>
    </w:p>
    <w:p w:rsidR="009D3776" w:rsidRDefault="007F4635">
      <w:pPr>
        <w:pStyle w:val="NormalnyWeb"/>
        <w:shd w:val="clear" w:color="auto" w:fill="FFFFFF"/>
        <w:spacing w:before="0" w:after="0"/>
        <w:jc w:val="both"/>
      </w:pPr>
      <w:r>
        <w:rPr>
          <w:rStyle w:val="StrongEmphasis"/>
          <w:rFonts w:ascii="Tahoma" w:hAnsi="Tahoma" w:cs="Tahoma"/>
          <w:color w:val="000000"/>
          <w:sz w:val="20"/>
          <w:szCs w:val="20"/>
        </w:rPr>
        <w:t>Wymagania szczegółowe: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1. Wykonawca pobierać będzie od </w:t>
      </w:r>
      <w:r>
        <w:rPr>
          <w:rFonts w:ascii="Tahoma" w:hAnsi="Tahoma" w:cs="Tahoma"/>
          <w:color w:val="000000"/>
          <w:sz w:val="20"/>
          <w:szCs w:val="20"/>
        </w:rPr>
        <w:t xml:space="preserve">Zamawiającego rzeczy przeznaczone do prania, czyszczenia i naprawy, a </w:t>
      </w: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także dostarczać będzie czystą bieliznę codziennie w dniach od poniedziałku do soboty. </w:t>
      </w:r>
      <w:r>
        <w:rPr>
          <w:rFonts w:ascii="Tahoma" w:hAnsi="Tahoma" w:cs="Tahoma"/>
          <w:b/>
          <w:color w:val="000000"/>
          <w:sz w:val="20"/>
          <w:szCs w:val="20"/>
        </w:rPr>
        <w:t>Przekazywanie brudnej bielizny tj. liczenie asortymentu odbywać się będzie w godzinach od 8:00 – 9:</w:t>
      </w:r>
      <w:r>
        <w:rPr>
          <w:rFonts w:ascii="Tahoma" w:hAnsi="Tahoma" w:cs="Tahoma"/>
          <w:b/>
          <w:color w:val="000000"/>
          <w:sz w:val="20"/>
          <w:szCs w:val="20"/>
        </w:rPr>
        <w:t>00, natomiast ważenie i przekazywanie czystej bielizny odbywać się będzie w godzinach od 11:00 – 12:00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Poszczególne usługi będą realizowane przez Wykonawcę sukcesywnie z wyłączeniem niedziel i świąt w następujących terminach: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pranie pościeli, bieliz</w:t>
      </w:r>
      <w:r>
        <w:rPr>
          <w:rFonts w:ascii="Tahoma" w:hAnsi="Tahoma" w:cs="Tahoma"/>
          <w:color w:val="000000"/>
          <w:sz w:val="20"/>
          <w:szCs w:val="20"/>
        </w:rPr>
        <w:t>ny szpitalnej w ciągu 24 godzin od chwili jej odbioru od Zamawiającego,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oraz w zależności od oferty Wykonawcy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pranie odzieży roboczej – do 48 godzin/do 72 godzin od chwili jej odbioru od Zamawiającego,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naprawa (reperacja) pościeli, bielizny i odzieży</w:t>
      </w:r>
      <w:r>
        <w:rPr>
          <w:rFonts w:ascii="Tahoma" w:hAnsi="Tahoma" w:cs="Tahoma"/>
          <w:color w:val="000000"/>
          <w:sz w:val="20"/>
          <w:szCs w:val="20"/>
        </w:rPr>
        <w:t xml:space="preserve"> roboczej –do 48 godzin / do 72 godzin od chwili jej odbioru od Zamawiającego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 czyszczenie chemiczne poduszek , koców, odzieży roboczej i wyrobów włókienniczych – do 48 godzin /do 72 godzin od chwili ich odbioru od Zamawiającego,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5) czyszczenie i pranie </w:t>
      </w:r>
      <w:r>
        <w:rPr>
          <w:rFonts w:ascii="Tahoma" w:hAnsi="Tahoma" w:cs="Tahoma"/>
          <w:color w:val="000000"/>
          <w:sz w:val="20"/>
          <w:szCs w:val="20"/>
        </w:rPr>
        <w:t>pokrowców, materacy i kołder – do 120 godzin/ do 144 godzin od chwili ich pobrania od Zamawiającego,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6) dezynfekcja termiczna w komorze - do 48 godzin / do 72 godzin.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Rzeczy przeznaczone do prania, czyszczenia i naprawy (reperacji) pobierane będą od Zam</w:t>
      </w:r>
      <w:r>
        <w:rPr>
          <w:rFonts w:ascii="Tahoma" w:hAnsi="Tahoma" w:cs="Tahoma"/>
          <w:color w:val="000000"/>
          <w:sz w:val="20"/>
          <w:szCs w:val="20"/>
        </w:rPr>
        <w:t>awiającego w odpowiednich workach foliowych dostarczanych przez Wykonawcę na jego koszt tj. :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zewnętrznych białych- rzeczy zanieczyszczone,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zewnętrznych czerwonych – rzeczy zakażone,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workach ochronnych – materace, poduszki, koce, pokrowce. Worki m</w:t>
      </w:r>
      <w:r>
        <w:rPr>
          <w:rFonts w:ascii="Tahoma" w:hAnsi="Tahoma" w:cs="Tahoma"/>
          <w:color w:val="000000"/>
          <w:sz w:val="20"/>
          <w:szCs w:val="20"/>
        </w:rPr>
        <w:t xml:space="preserve">uszą być wiązane o wymiarach 160 x 80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</w:pPr>
      <w:r>
        <w:rPr>
          <w:rFonts w:ascii="Tahoma" w:hAnsi="Tahoma" w:cs="Tahoma"/>
          <w:color w:val="000000"/>
          <w:sz w:val="20"/>
          <w:szCs w:val="20"/>
        </w:rPr>
        <w:t>4. Wykonawca dostarczać będzie czystą bieliznę w workach foliowych niebieskich i opakowaniach ochronnych (np. worki płócienne)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oznakowanych nazwą oddziału.</w:t>
      </w:r>
    </w:p>
    <w:p w:rsidR="009D3776" w:rsidRDefault="009D3776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9D3776" w:rsidRDefault="007F4635">
      <w:pPr>
        <w:pStyle w:val="NormalnyWeb"/>
        <w:shd w:val="clear" w:color="auto" w:fill="FFFFFF"/>
        <w:spacing w:before="0" w:after="0"/>
        <w:jc w:val="both"/>
      </w:pPr>
      <w:r>
        <w:rPr>
          <w:rStyle w:val="StrongEmphasis"/>
          <w:rFonts w:ascii="Tahoma" w:hAnsi="Tahoma" w:cs="Tahoma"/>
          <w:color w:val="000000"/>
          <w:sz w:val="20"/>
          <w:szCs w:val="20"/>
        </w:rPr>
        <w:t>5) Warunki pozostałe:</w:t>
      </w:r>
    </w:p>
    <w:p w:rsidR="009D3776" w:rsidRDefault="007F4635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Szczegółowe warunki świadczenia kom</w:t>
      </w:r>
      <w:r>
        <w:rPr>
          <w:rFonts w:ascii="Tahoma" w:hAnsi="Tahoma" w:cs="Tahoma"/>
          <w:color w:val="000000"/>
          <w:sz w:val="20"/>
          <w:szCs w:val="20"/>
        </w:rPr>
        <w:t>pleksowej usługi prania wraz z transportem przez Wykonawcę na rzecz Zamawiającego określa projekt umowy ( załącznik nr 3 do SIWZ).</w:t>
      </w:r>
    </w:p>
    <w:p w:rsidR="009D3776" w:rsidRDefault="009D3776">
      <w:pPr>
        <w:pStyle w:val="Standard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D3776" w:rsidRDefault="009D3776">
      <w:pPr>
        <w:pStyle w:val="Standard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D3776" w:rsidRDefault="009D3776">
      <w:pPr>
        <w:pStyle w:val="Standard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sectPr w:rsidR="009D3776" w:rsidSect="009D377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635" w:rsidRDefault="007F4635" w:rsidP="009D3776">
      <w:r>
        <w:separator/>
      </w:r>
    </w:p>
  </w:endnote>
  <w:endnote w:type="continuationSeparator" w:id="0">
    <w:p w:rsidR="007F4635" w:rsidRDefault="007F4635" w:rsidP="009D3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 'MS Mincho'">
    <w:charset w:val="0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635" w:rsidRDefault="007F4635" w:rsidP="009D3776">
      <w:r w:rsidRPr="009D3776">
        <w:rPr>
          <w:color w:val="000000"/>
        </w:rPr>
        <w:separator/>
      </w:r>
    </w:p>
  </w:footnote>
  <w:footnote w:type="continuationSeparator" w:id="0">
    <w:p w:rsidR="007F4635" w:rsidRDefault="007F4635" w:rsidP="009D3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1367"/>
    <w:multiLevelType w:val="multilevel"/>
    <w:tmpl w:val="18E44470"/>
    <w:styleLink w:val="WW8Num15"/>
    <w:lvl w:ilvl="0">
      <w:numFmt w:val="bullet"/>
      <w:lvlText w:val=""/>
      <w:lvlJc w:val="left"/>
      <w:rPr>
        <w:rFonts w:ascii="Symbol" w:eastAsia="TimesNewRoman, 'MS Mincho'" w:hAnsi="Symbol" w:cs="OpenSymbol"/>
        <w:color w:val="000000"/>
        <w:position w:val="0"/>
        <w:sz w:val="20"/>
        <w:szCs w:val="20"/>
        <w:vertAlign w:val="baseline"/>
        <w:lang w:val="pl-PL"/>
      </w:rPr>
    </w:lvl>
    <w:lvl w:ilvl="1">
      <w:numFmt w:val="bullet"/>
      <w:lvlText w:val=""/>
      <w:lvlJc w:val="left"/>
      <w:rPr>
        <w:rFonts w:ascii="Symbol" w:eastAsia="TimesNewRoman, 'MS Mincho'" w:hAnsi="Symbol" w:cs="OpenSymbol"/>
        <w:color w:val="000000"/>
        <w:position w:val="0"/>
        <w:sz w:val="20"/>
        <w:szCs w:val="20"/>
        <w:vertAlign w:val="baseline"/>
        <w:lang w:val="pl-PL"/>
      </w:rPr>
    </w:lvl>
    <w:lvl w:ilvl="2">
      <w:numFmt w:val="bullet"/>
      <w:lvlText w:val=""/>
      <w:lvlJc w:val="left"/>
      <w:rPr>
        <w:rFonts w:ascii="Symbol" w:eastAsia="TimesNewRoman, 'MS Mincho'" w:hAnsi="Symbol" w:cs="OpenSymbol"/>
        <w:color w:val="000000"/>
        <w:position w:val="0"/>
        <w:sz w:val="20"/>
        <w:szCs w:val="20"/>
        <w:vertAlign w:val="baseline"/>
        <w:lang w:val="pl-PL"/>
      </w:rPr>
    </w:lvl>
    <w:lvl w:ilvl="3">
      <w:numFmt w:val="bullet"/>
      <w:lvlText w:val=""/>
      <w:lvlJc w:val="left"/>
      <w:rPr>
        <w:rFonts w:ascii="Symbol" w:eastAsia="TimesNewRoman, 'MS Mincho'" w:hAnsi="Symbol" w:cs="OpenSymbol"/>
        <w:color w:val="000000"/>
        <w:position w:val="0"/>
        <w:sz w:val="20"/>
        <w:szCs w:val="20"/>
        <w:vertAlign w:val="baseline"/>
        <w:lang w:val="pl-PL"/>
      </w:rPr>
    </w:lvl>
    <w:lvl w:ilvl="4">
      <w:numFmt w:val="bullet"/>
      <w:lvlText w:val=""/>
      <w:lvlJc w:val="left"/>
      <w:rPr>
        <w:rFonts w:ascii="Symbol" w:eastAsia="TimesNewRoman, 'MS Mincho'" w:hAnsi="Symbol" w:cs="OpenSymbol"/>
        <w:color w:val="000000"/>
        <w:position w:val="0"/>
        <w:sz w:val="20"/>
        <w:szCs w:val="20"/>
        <w:vertAlign w:val="baseline"/>
        <w:lang w:val="pl-PL"/>
      </w:rPr>
    </w:lvl>
    <w:lvl w:ilvl="5">
      <w:numFmt w:val="bullet"/>
      <w:lvlText w:val=""/>
      <w:lvlJc w:val="left"/>
      <w:rPr>
        <w:rFonts w:ascii="Symbol" w:eastAsia="TimesNewRoman, 'MS Mincho'" w:hAnsi="Symbol" w:cs="OpenSymbol"/>
        <w:color w:val="000000"/>
        <w:position w:val="0"/>
        <w:sz w:val="20"/>
        <w:szCs w:val="20"/>
        <w:vertAlign w:val="baseline"/>
        <w:lang w:val="pl-PL"/>
      </w:rPr>
    </w:lvl>
    <w:lvl w:ilvl="6">
      <w:numFmt w:val="bullet"/>
      <w:lvlText w:val=""/>
      <w:lvlJc w:val="left"/>
      <w:rPr>
        <w:rFonts w:ascii="Symbol" w:eastAsia="TimesNewRoman, 'MS Mincho'" w:hAnsi="Symbol" w:cs="OpenSymbol"/>
        <w:color w:val="000000"/>
        <w:position w:val="0"/>
        <w:sz w:val="20"/>
        <w:szCs w:val="20"/>
        <w:vertAlign w:val="baseline"/>
        <w:lang w:val="pl-PL"/>
      </w:rPr>
    </w:lvl>
    <w:lvl w:ilvl="7">
      <w:numFmt w:val="bullet"/>
      <w:lvlText w:val=""/>
      <w:lvlJc w:val="left"/>
      <w:rPr>
        <w:rFonts w:ascii="Symbol" w:eastAsia="TimesNewRoman, 'MS Mincho'" w:hAnsi="Symbol" w:cs="OpenSymbol"/>
        <w:color w:val="000000"/>
        <w:position w:val="0"/>
        <w:sz w:val="20"/>
        <w:szCs w:val="20"/>
        <w:vertAlign w:val="baseline"/>
        <w:lang w:val="pl-PL"/>
      </w:rPr>
    </w:lvl>
    <w:lvl w:ilvl="8">
      <w:numFmt w:val="bullet"/>
      <w:lvlText w:val=""/>
      <w:lvlJc w:val="left"/>
      <w:rPr>
        <w:rFonts w:ascii="Symbol" w:eastAsia="TimesNewRoman, 'MS Mincho'" w:hAnsi="Symbol" w:cs="OpenSymbol"/>
        <w:color w:val="000000"/>
        <w:position w:val="0"/>
        <w:sz w:val="20"/>
        <w:szCs w:val="20"/>
        <w:vertAlign w:val="baseline"/>
        <w:lang w:val="pl-PL"/>
      </w:rPr>
    </w:lvl>
  </w:abstractNum>
  <w:abstractNum w:abstractNumId="1">
    <w:nsid w:val="42380DB4"/>
    <w:multiLevelType w:val="multilevel"/>
    <w:tmpl w:val="C7303262"/>
    <w:styleLink w:val="WW8Num13"/>
    <w:lvl w:ilvl="0">
      <w:numFmt w:val="bullet"/>
      <w:lvlText w:val=""/>
      <w:lvlJc w:val="left"/>
      <w:rPr>
        <w:rFonts w:ascii="Symbol" w:hAnsi="Symbol" w:cs="OpenSymbol"/>
        <w:b w:val="0"/>
        <w:bCs w:val="0"/>
        <w:color w:val="auto"/>
        <w:sz w:val="22"/>
        <w:szCs w:val="22"/>
      </w:rPr>
    </w:lvl>
    <w:lvl w:ilvl="1">
      <w:numFmt w:val="bullet"/>
      <w:lvlText w:val=""/>
      <w:lvlJc w:val="left"/>
      <w:rPr>
        <w:rFonts w:ascii="Symbol" w:hAnsi="Symbol" w:cs="OpenSymbol"/>
        <w:b w:val="0"/>
        <w:bCs w:val="0"/>
        <w:color w:val="auto"/>
        <w:sz w:val="22"/>
        <w:szCs w:val="22"/>
      </w:rPr>
    </w:lvl>
    <w:lvl w:ilvl="2">
      <w:numFmt w:val="bullet"/>
      <w:lvlText w:val=""/>
      <w:lvlJc w:val="left"/>
      <w:rPr>
        <w:rFonts w:ascii="Symbol" w:hAnsi="Symbol" w:cs="OpenSymbol"/>
        <w:b w:val="0"/>
        <w:bCs w:val="0"/>
        <w:color w:val="auto"/>
        <w:sz w:val="22"/>
        <w:szCs w:val="22"/>
      </w:rPr>
    </w:lvl>
    <w:lvl w:ilvl="3">
      <w:numFmt w:val="bullet"/>
      <w:lvlText w:val=""/>
      <w:lvlJc w:val="left"/>
      <w:rPr>
        <w:rFonts w:ascii="Symbol" w:hAnsi="Symbol" w:cs="OpenSymbol"/>
        <w:b w:val="0"/>
        <w:bCs w:val="0"/>
        <w:color w:val="auto"/>
        <w:sz w:val="22"/>
        <w:szCs w:val="22"/>
      </w:rPr>
    </w:lvl>
    <w:lvl w:ilvl="4">
      <w:numFmt w:val="bullet"/>
      <w:lvlText w:val=""/>
      <w:lvlJc w:val="left"/>
      <w:rPr>
        <w:rFonts w:ascii="Symbol" w:hAnsi="Symbol" w:cs="OpenSymbol"/>
        <w:b w:val="0"/>
        <w:bCs w:val="0"/>
        <w:color w:val="auto"/>
        <w:sz w:val="22"/>
        <w:szCs w:val="22"/>
      </w:rPr>
    </w:lvl>
    <w:lvl w:ilvl="5">
      <w:numFmt w:val="bullet"/>
      <w:lvlText w:val=""/>
      <w:lvlJc w:val="left"/>
      <w:rPr>
        <w:rFonts w:ascii="Symbol" w:hAnsi="Symbol" w:cs="OpenSymbol"/>
        <w:b w:val="0"/>
        <w:bCs w:val="0"/>
        <w:color w:val="auto"/>
        <w:sz w:val="22"/>
        <w:szCs w:val="22"/>
      </w:rPr>
    </w:lvl>
    <w:lvl w:ilvl="6">
      <w:numFmt w:val="bullet"/>
      <w:lvlText w:val=""/>
      <w:lvlJc w:val="left"/>
      <w:rPr>
        <w:rFonts w:ascii="Symbol" w:hAnsi="Symbol" w:cs="OpenSymbol"/>
        <w:b w:val="0"/>
        <w:bCs w:val="0"/>
        <w:color w:val="auto"/>
        <w:sz w:val="22"/>
        <w:szCs w:val="22"/>
      </w:rPr>
    </w:lvl>
    <w:lvl w:ilvl="7">
      <w:numFmt w:val="bullet"/>
      <w:lvlText w:val=""/>
      <w:lvlJc w:val="left"/>
      <w:rPr>
        <w:rFonts w:ascii="Symbol" w:hAnsi="Symbol" w:cs="OpenSymbol"/>
        <w:b w:val="0"/>
        <w:bCs w:val="0"/>
        <w:color w:val="auto"/>
        <w:sz w:val="22"/>
        <w:szCs w:val="22"/>
      </w:rPr>
    </w:lvl>
    <w:lvl w:ilvl="8">
      <w:numFmt w:val="bullet"/>
      <w:lvlText w:val=""/>
      <w:lvlJc w:val="left"/>
      <w:rPr>
        <w:rFonts w:ascii="Symbol" w:hAnsi="Symbol" w:cs="OpenSymbol"/>
        <w:b w:val="0"/>
        <w:bCs w:val="0"/>
        <w:color w:val="auto"/>
        <w:sz w:val="22"/>
        <w:szCs w:val="22"/>
      </w:rPr>
    </w:lvl>
  </w:abstractNum>
  <w:abstractNum w:abstractNumId="2">
    <w:nsid w:val="721279D3"/>
    <w:multiLevelType w:val="multilevel"/>
    <w:tmpl w:val="C532B2BC"/>
    <w:styleLink w:val="WW8Num16"/>
    <w:lvl w:ilvl="0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1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2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3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4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5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6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7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8">
      <w:numFmt w:val="bullet"/>
      <w:lvlText w:val=""/>
      <w:lvlJc w:val="left"/>
      <w:rPr>
        <w:rFonts w:ascii="Symbol" w:hAnsi="Symbol" w:cs="OpenSymbol"/>
        <w:sz w:val="22"/>
        <w:szCs w:val="22"/>
      </w:rPr>
    </w:lvl>
  </w:abstractNum>
  <w:abstractNum w:abstractNumId="3">
    <w:nsid w:val="778571FE"/>
    <w:multiLevelType w:val="multilevel"/>
    <w:tmpl w:val="D51407CC"/>
    <w:styleLink w:val="WW8Num14"/>
    <w:lvl w:ilvl="0">
      <w:numFmt w:val="bullet"/>
      <w:lvlText w:val=""/>
      <w:lvlJc w:val="left"/>
      <w:rPr>
        <w:rFonts w:ascii="Symbol" w:hAnsi="Symbol" w:cs="OpenSymbol"/>
        <w:b/>
      </w:rPr>
    </w:lvl>
    <w:lvl w:ilvl="1">
      <w:numFmt w:val="bullet"/>
      <w:lvlText w:val=""/>
      <w:lvlJc w:val="left"/>
      <w:rPr>
        <w:rFonts w:ascii="Symbol" w:hAnsi="Symbol" w:cs="OpenSymbol"/>
        <w:b/>
      </w:rPr>
    </w:lvl>
    <w:lvl w:ilvl="2">
      <w:numFmt w:val="bullet"/>
      <w:lvlText w:val=""/>
      <w:lvlJc w:val="left"/>
      <w:rPr>
        <w:rFonts w:ascii="Symbol" w:hAnsi="Symbol" w:cs="OpenSymbol"/>
        <w:b/>
      </w:rPr>
    </w:lvl>
    <w:lvl w:ilvl="3">
      <w:numFmt w:val="bullet"/>
      <w:lvlText w:val=""/>
      <w:lvlJc w:val="left"/>
      <w:rPr>
        <w:rFonts w:ascii="Symbol" w:hAnsi="Symbol" w:cs="OpenSymbol"/>
        <w:b/>
      </w:rPr>
    </w:lvl>
    <w:lvl w:ilvl="4">
      <w:numFmt w:val="bullet"/>
      <w:lvlText w:val=""/>
      <w:lvlJc w:val="left"/>
      <w:rPr>
        <w:rFonts w:ascii="Symbol" w:hAnsi="Symbol" w:cs="OpenSymbol"/>
        <w:b/>
      </w:rPr>
    </w:lvl>
    <w:lvl w:ilvl="5">
      <w:numFmt w:val="bullet"/>
      <w:lvlText w:val=""/>
      <w:lvlJc w:val="left"/>
      <w:rPr>
        <w:rFonts w:ascii="Symbol" w:hAnsi="Symbol" w:cs="OpenSymbol"/>
        <w:b/>
      </w:rPr>
    </w:lvl>
    <w:lvl w:ilvl="6">
      <w:numFmt w:val="bullet"/>
      <w:lvlText w:val=""/>
      <w:lvlJc w:val="left"/>
      <w:rPr>
        <w:rFonts w:ascii="Symbol" w:hAnsi="Symbol" w:cs="OpenSymbol"/>
        <w:b/>
      </w:rPr>
    </w:lvl>
    <w:lvl w:ilvl="7">
      <w:numFmt w:val="bullet"/>
      <w:lvlText w:val=""/>
      <w:lvlJc w:val="left"/>
      <w:rPr>
        <w:rFonts w:ascii="Symbol" w:hAnsi="Symbol" w:cs="OpenSymbol"/>
        <w:b/>
      </w:rPr>
    </w:lvl>
    <w:lvl w:ilvl="8">
      <w:numFmt w:val="bullet"/>
      <w:lvlText w:val=""/>
      <w:lvlJc w:val="left"/>
      <w:rPr>
        <w:rFonts w:ascii="Symbol" w:hAnsi="Symbol" w:cs="OpenSymbol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/>
  </w:num>
  <w:num w:numId="6">
    <w:abstractNumId w:val="0"/>
    <w:lvlOverride w:ilvl="0"/>
  </w:num>
  <w:num w:numId="7">
    <w:abstractNumId w:val="3"/>
    <w:lvlOverride w:ilvl="0"/>
  </w:num>
  <w:num w:numId="8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776"/>
    <w:rsid w:val="00557B0B"/>
    <w:rsid w:val="007F4635"/>
    <w:rsid w:val="009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3776"/>
  </w:style>
  <w:style w:type="paragraph" w:customStyle="1" w:styleId="Heading">
    <w:name w:val="Heading"/>
    <w:basedOn w:val="Standard"/>
    <w:next w:val="Textbody"/>
    <w:rsid w:val="009D377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D3776"/>
    <w:pPr>
      <w:spacing w:after="120"/>
    </w:pPr>
  </w:style>
  <w:style w:type="paragraph" w:styleId="Lista">
    <w:name w:val="List"/>
    <w:basedOn w:val="Textbody"/>
    <w:rsid w:val="009D3776"/>
  </w:style>
  <w:style w:type="paragraph" w:customStyle="1" w:styleId="Caption">
    <w:name w:val="Caption"/>
    <w:basedOn w:val="Standard"/>
    <w:rsid w:val="009D37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D3776"/>
    <w:pPr>
      <w:suppressLineNumbers/>
    </w:pPr>
  </w:style>
  <w:style w:type="paragraph" w:styleId="NormalnyWeb">
    <w:name w:val="Normal (Web)"/>
    <w:basedOn w:val="Standard"/>
    <w:rsid w:val="009D3776"/>
    <w:pPr>
      <w:spacing w:before="280" w:after="280"/>
    </w:pPr>
    <w:rPr>
      <w:rFonts w:eastAsia="Lucida Sans Unicode" w:cs="Times New Roman"/>
      <w:lang w:bidi="ar-SA"/>
    </w:rPr>
  </w:style>
  <w:style w:type="character" w:customStyle="1" w:styleId="apple-converted-space">
    <w:name w:val="apple-converted-space"/>
    <w:rsid w:val="009D3776"/>
  </w:style>
  <w:style w:type="character" w:customStyle="1" w:styleId="StrongEmphasis">
    <w:name w:val="Strong Emphasis"/>
    <w:rsid w:val="009D3776"/>
    <w:rPr>
      <w:b/>
      <w:bCs/>
    </w:rPr>
  </w:style>
  <w:style w:type="character" w:customStyle="1" w:styleId="WW8Num16z0">
    <w:name w:val="WW8Num16z0"/>
    <w:rsid w:val="009D3776"/>
    <w:rPr>
      <w:rFonts w:ascii="Wingdings 2" w:hAnsi="Wingdings 2" w:cs="OpenSymbol"/>
      <w:sz w:val="22"/>
      <w:szCs w:val="22"/>
    </w:rPr>
  </w:style>
  <w:style w:type="character" w:customStyle="1" w:styleId="WW8Num15z0">
    <w:name w:val="WW8Num15z0"/>
    <w:rsid w:val="009D3776"/>
    <w:rPr>
      <w:rFonts w:ascii="Symbol" w:eastAsia="TimesNewRoman, 'MS Mincho'" w:hAnsi="Symbol" w:cs="Open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14z0">
    <w:name w:val="WW8Num14z0"/>
    <w:rsid w:val="009D3776"/>
    <w:rPr>
      <w:rFonts w:ascii="Wingdings 2" w:hAnsi="Wingdings 2" w:cs="OpenSymbol"/>
      <w:b/>
    </w:rPr>
  </w:style>
  <w:style w:type="character" w:customStyle="1" w:styleId="WW8Num13z0">
    <w:name w:val="WW8Num13z0"/>
    <w:rsid w:val="009D3776"/>
    <w:rPr>
      <w:rFonts w:ascii="Wingdings 2" w:hAnsi="Wingdings 2" w:cs="OpenSymbol"/>
      <w:b w:val="0"/>
      <w:bCs w:val="0"/>
      <w:color w:val="auto"/>
      <w:sz w:val="22"/>
      <w:szCs w:val="22"/>
    </w:rPr>
  </w:style>
  <w:style w:type="numbering" w:customStyle="1" w:styleId="WW8Num16">
    <w:name w:val="WW8Num16"/>
    <w:basedOn w:val="Bezlisty"/>
    <w:rsid w:val="009D3776"/>
    <w:pPr>
      <w:numPr>
        <w:numId w:val="1"/>
      </w:numPr>
    </w:pPr>
  </w:style>
  <w:style w:type="numbering" w:customStyle="1" w:styleId="WW8Num15">
    <w:name w:val="WW8Num15"/>
    <w:basedOn w:val="Bezlisty"/>
    <w:rsid w:val="009D3776"/>
    <w:pPr>
      <w:numPr>
        <w:numId w:val="2"/>
      </w:numPr>
    </w:pPr>
  </w:style>
  <w:style w:type="numbering" w:customStyle="1" w:styleId="WW8Num14">
    <w:name w:val="WW8Num14"/>
    <w:basedOn w:val="Bezlisty"/>
    <w:rsid w:val="009D3776"/>
    <w:pPr>
      <w:numPr>
        <w:numId w:val="3"/>
      </w:numPr>
    </w:pPr>
  </w:style>
  <w:style w:type="numbering" w:customStyle="1" w:styleId="WW8Num13">
    <w:name w:val="WW8Num13"/>
    <w:basedOn w:val="Bezlisty"/>
    <w:rsid w:val="009D3776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848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Pyka</dc:creator>
  <cp:lastModifiedBy>Pyka</cp:lastModifiedBy>
  <cp:revision>1</cp:revision>
  <dcterms:created xsi:type="dcterms:W3CDTF">2021-04-27T09:29:00Z</dcterms:created>
  <dcterms:modified xsi:type="dcterms:W3CDTF">2021-05-16T22:37:00Z</dcterms:modified>
</cp:coreProperties>
</file>